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 – </w:t>
      </w:r>
      <w:r w:rsidDel="00000000" w:rsidR="00000000" w:rsidRPr="00000000">
        <w:rPr>
          <w:b w:val="1"/>
          <w:rtl w:val="0"/>
        </w:rPr>
        <w:t xml:space="preserve">DESCRIÇÃO DE VAGAS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DAS OBRAS DE ARTE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  <w:t xml:space="preserve">1.1 Compete a cada categoria as seguintes atividades:</w:t>
      </w:r>
    </w:p>
    <w:p w:rsidR="00000000" w:rsidDel="00000000" w:rsidP="00000000" w:rsidRDefault="00000000" w:rsidRPr="00000000" w14:paraId="00000006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25"/>
        <w:gridCol w:w="6435"/>
        <w:tblGridChange w:id="0">
          <w:tblGrid>
            <w:gridCol w:w="3225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CATEGORIA</w:t>
            </w:r>
          </w:p>
        </w:tc>
        <w:tc>
          <w:tcPr>
            <w:shd w:fill="ff99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ATIVIDADE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a"/>
                <w:rtl w:val="0"/>
              </w:rPr>
              <w:t xml:space="preserve">I - Pinturas de: Quadros, Painéis e Murais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Pinturas de quadros que reflitam a identidade municipal;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Pinturas de painéis e murais em espaços públicos (muros, praças etc).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 - Artesanato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Barro, madeira, metal, bordado, crochês e demais artesanatos que reflitam a identidade municipal.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III - </w:t>
            </w:r>
            <w:r w:rsidDel="00000000" w:rsidR="00000000" w:rsidRPr="00000000">
              <w:rPr>
                <w:color w:val="00000a"/>
                <w:rtl w:val="0"/>
              </w:rPr>
              <w:t xml:space="preserve">Estátuas, bustos, obras de arte, espaços estagramáveis e  intervenções artísticas.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para distribuição em espaços públicos.</w:t>
            </w:r>
          </w:p>
        </w:tc>
      </w:tr>
    </w:tbl>
    <w:p w:rsidR="00000000" w:rsidDel="00000000" w:rsidP="00000000" w:rsidRDefault="00000000" w:rsidRPr="00000000" w14:paraId="0000001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1.2 Para a categoria </w:t>
      </w:r>
      <w:r w:rsidDel="00000000" w:rsidR="00000000" w:rsidRPr="00000000">
        <w:rPr>
          <w:b w:val="1"/>
          <w:i w:val="1"/>
          <w:color w:val="00000a"/>
          <w:rtl w:val="0"/>
        </w:rPr>
        <w:t xml:space="preserve">I - Pinturas de: Quadros, Painéis e Murais</w:t>
      </w:r>
      <w:r w:rsidDel="00000000" w:rsidR="00000000" w:rsidRPr="00000000">
        <w:rPr>
          <w:i w:val="1"/>
          <w:color w:val="00000a"/>
          <w:rtl w:val="0"/>
        </w:rPr>
        <w:t xml:space="preserve">, s</w:t>
      </w:r>
      <w:r w:rsidDel="00000000" w:rsidR="00000000" w:rsidRPr="00000000">
        <w:rPr>
          <w:rtl w:val="0"/>
        </w:rPr>
        <w:t xml:space="preserve">erão admitidas, apenas, inscrições Pessoa Física, podendo ser selecionadas 11 (onze) propostas de pinturas.</w:t>
      </w:r>
    </w:p>
    <w:p w:rsidR="00000000" w:rsidDel="00000000" w:rsidP="00000000" w:rsidRDefault="00000000" w:rsidRPr="00000000" w14:paraId="00000012">
      <w:pPr>
        <w:spacing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 - Os quadros deverão, obrigatoriamente, estarem finalizados ou semi-finalizados, devendo serem entregues em até 60 (sessenta) dias após a assinatura do Termo de Execução Cultural;</w:t>
      </w:r>
    </w:p>
    <w:p w:rsidR="00000000" w:rsidDel="00000000" w:rsidP="00000000" w:rsidRDefault="00000000" w:rsidRPr="00000000" w14:paraId="00000013">
      <w:pPr>
        <w:spacing w:after="16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II - Para os painéis e quadros, deverão ser finalizados e/ou entregues em até 60 (sessenta) dias após a assinatura do Termo de Execução Cultural;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1.3 Para a categoria </w:t>
      </w:r>
      <w:r w:rsidDel="00000000" w:rsidR="00000000" w:rsidRPr="00000000">
        <w:rPr>
          <w:b w:val="1"/>
          <w:i w:val="1"/>
          <w:rtl w:val="0"/>
        </w:rPr>
        <w:t xml:space="preserve">II - Artesanato, </w:t>
      </w:r>
      <w:r w:rsidDel="00000000" w:rsidR="00000000" w:rsidRPr="00000000">
        <w:rPr>
          <w:b w:val="1"/>
          <w:rtl w:val="0"/>
        </w:rPr>
        <w:t xml:space="preserve"> serão admitidas</w:t>
      </w:r>
      <w:r w:rsidDel="00000000" w:rsidR="00000000" w:rsidRPr="00000000">
        <w:rPr>
          <w:rtl w:val="0"/>
        </w:rPr>
        <w:t xml:space="preserve">, apenas, inscrições Pessoa Física, podendo ser selecionados (vinte e uma) propostas.</w:t>
      </w:r>
    </w:p>
    <w:p w:rsidR="00000000" w:rsidDel="00000000" w:rsidP="00000000" w:rsidRDefault="00000000" w:rsidRPr="00000000" w14:paraId="00000015">
      <w:pPr>
        <w:spacing w:after="16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 - As peças de artesanato deverão, obrigatoriamente, estarem finalizadas ou semi-finalizadas, devendo serem entregues em até 60 (sessenta) dias após a assinatura do Termo de Execução Cultural;</w:t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1.4 Para a categoria </w:t>
      </w:r>
      <w:r w:rsidDel="00000000" w:rsidR="00000000" w:rsidRPr="00000000">
        <w:rPr>
          <w:b w:val="1"/>
          <w:i w:val="1"/>
          <w:rtl w:val="0"/>
        </w:rPr>
        <w:t xml:space="preserve">III - </w:t>
      </w:r>
      <w:r w:rsidDel="00000000" w:rsidR="00000000" w:rsidRPr="00000000">
        <w:rPr>
          <w:b w:val="1"/>
          <w:i w:val="1"/>
          <w:color w:val="00000a"/>
          <w:rtl w:val="0"/>
        </w:rPr>
        <w:t xml:space="preserve">Estátuas, bustos, obras de arte</w:t>
      </w:r>
      <w:r w:rsidDel="00000000" w:rsidR="00000000" w:rsidRPr="00000000">
        <w:rPr>
          <w:i w:val="1"/>
          <w:color w:val="00000a"/>
          <w:rtl w:val="0"/>
        </w:rPr>
        <w:t xml:space="preserve">, espaços estagramáveis e  intervenções artísticas</w:t>
      </w:r>
      <w:r w:rsidDel="00000000" w:rsidR="00000000" w:rsidRPr="00000000">
        <w:rPr>
          <w:color w:val="00000a"/>
          <w:rtl w:val="0"/>
        </w:rPr>
        <w:t xml:space="preserve">, </w:t>
      </w:r>
      <w:r w:rsidDel="00000000" w:rsidR="00000000" w:rsidRPr="00000000">
        <w:rPr>
          <w:i w:val="1"/>
          <w:color w:val="00000a"/>
          <w:rtl w:val="0"/>
        </w:rPr>
        <w:t xml:space="preserve">s</w:t>
      </w:r>
      <w:r w:rsidDel="00000000" w:rsidR="00000000" w:rsidRPr="00000000">
        <w:rPr>
          <w:rtl w:val="0"/>
        </w:rPr>
        <w:t xml:space="preserve">erão admitidas, apenas, inscrições Pessoa Física, podendo ser selecionadas 10 (dez) propostas.</w:t>
      </w:r>
    </w:p>
    <w:p w:rsidR="00000000" w:rsidDel="00000000" w:rsidP="00000000" w:rsidRDefault="00000000" w:rsidRPr="00000000" w14:paraId="00000017">
      <w:pPr>
        <w:spacing w:after="160" w:line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I - As peças de artesanato deverão, obrigatoriamente, estarem finalizadas ou semi-finalizadas, devendo serem entregues em até 60 (sessenta) dias após a assinatura do Termo de Execução Cultural;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38101</wp:posOffset>
          </wp:positionV>
          <wp:extent cx="3890100" cy="609600"/>
          <wp:effectExtent b="0" l="0" r="0" t="0"/>
          <wp:wrapNone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-1091" t="44077"/>
                  <a:stretch>
                    <a:fillRect/>
                  </a:stretch>
                </pic:blipFill>
                <pic:spPr>
                  <a:xfrm>
                    <a:off x="0" y="0"/>
                    <a:ext cx="3890100" cy="6096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3181350</wp:posOffset>
          </wp:positionH>
          <wp:positionV relativeFrom="paragraph">
            <wp:posOffset>36239</wp:posOffset>
          </wp:positionV>
          <wp:extent cx="3847238" cy="606319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8482" l="0" r="0" t="44077"/>
                  <a:stretch>
                    <a:fillRect/>
                  </a:stretch>
                </pic:blipFill>
                <pic:spPr>
                  <a:xfrm>
                    <a:off x="0" y="0"/>
                    <a:ext cx="3847238" cy="6063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rPr/>
    </w:pPr>
    <w:r w:rsidDel="00000000" w:rsidR="00000000" w:rsidRPr="00000000">
      <w:rPr/>
      <w:drawing>
        <wp:inline distB="114300" distT="114300" distL="114300" distR="114300">
          <wp:extent cx="6124575" cy="695325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35734" l="0" r="0" t="44044"/>
                  <a:stretch>
                    <a:fillRect/>
                  </a:stretch>
                </pic:blipFill>
                <pic:spPr>
                  <a:xfrm>
                    <a:off x="0" y="0"/>
                    <a:ext cx="6124575" cy="6953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