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jc w:val="right"/>
        <w:rPr/>
      </w:pPr>
      <w:r>
        <w:rPr/>
        <w:t>Nº 01/2018</w:t>
      </w:r>
    </w:p>
    <w:p>
      <w:pPr>
        <w:pStyle w:val="NormalWeb"/>
        <w:spacing w:lineRule="auto" w:line="240" w:before="0" w:after="0"/>
        <w:jc w:val="center"/>
        <w:rPr/>
      </w:pPr>
      <w:r>
        <w:rPr/>
      </w:r>
    </w:p>
    <w:p>
      <w:pPr>
        <w:pStyle w:val="NormalWeb"/>
        <w:spacing w:lineRule="auto" w:line="240" w:before="0" w:after="0"/>
        <w:jc w:val="center"/>
        <w:rPr/>
      </w:pPr>
      <w:r>
        <w:rPr/>
      </w:r>
    </w:p>
    <w:p>
      <w:pPr>
        <w:pStyle w:val="Normal"/>
        <w:jc w:val="center"/>
        <w:rPr>
          <w:rFonts w:ascii="DejaVu Sans Mono" w:hAnsi="DejaVu Sans Mono" w:cs="DejaVu Sans Mono"/>
          <w:sz w:val="24"/>
          <w:szCs w:val="24"/>
          <w:u w:val="single"/>
        </w:rPr>
      </w:pPr>
      <w:r>
        <w:rPr>
          <w:rFonts w:cs="DejaVu Sans Mono" w:ascii="DejaVu Sans Mono" w:hAnsi="DejaVu Sans Mono"/>
          <w:sz w:val="24"/>
          <w:szCs w:val="24"/>
          <w:u w:val="single"/>
        </w:rPr>
        <w:t>TERMO DE REFERÊNCIA PARA CERTIDÃO DE ANUÊNCIA AMBIENTAL DE POSTOS DE COMBUSTÍVEIS</w:t>
      </w:r>
    </w:p>
    <w:p>
      <w:pPr>
        <w:pStyle w:val="Normal"/>
        <w:jc w:val="center"/>
        <w:rPr>
          <w:rFonts w:ascii="DejaVu Sans Mono" w:hAnsi="DejaVu Sans Mono" w:cs="DejaVu Sans Mono"/>
          <w:sz w:val="24"/>
          <w:szCs w:val="24"/>
          <w:u w:val="single"/>
        </w:rPr>
      </w:pPr>
      <w:r>
        <w:rPr>
          <w:rFonts w:cs="DejaVu Sans Mono" w:ascii="DejaVu Sans Mono" w:hAnsi="DejaVu Sans Mono"/>
          <w:sz w:val="24"/>
          <w:szCs w:val="24"/>
          <w:u w:val="single"/>
        </w:rPr>
      </w:r>
    </w:p>
    <w:p>
      <w:pPr>
        <w:pStyle w:val="Normal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 xml:space="preserve">O licenciamento ambiental de que trata este item está previsto na Resolução CONAMA no 273/2000, sendo aplicável às atividades de armazenamento e a empresas com unidades de abastecimento próprio de combustíveis líquidos derivados de petróleo e álcool carburente veicular.   </w:t>
      </w:r>
    </w:p>
    <w:p>
      <w:pPr>
        <w:pStyle w:val="Normal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As atividades objeto do licenciamento são as de armazenamento e abastecimento de combustíveis, bem como a outras atividades a elas relacionadas, como a lavagem de veículos, a troca de óleo, a lubrificação de veículos e serviços administrados relacionados a essas atividades.</w:t>
      </w:r>
    </w:p>
    <w:p>
      <w:pPr>
        <w:pStyle w:val="Normal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jc w:val="both"/>
        <w:rPr>
          <w:rFonts w:ascii="DejaVu Sans Mono" w:hAnsi="DejaVu Sans Mono" w:cs="DejaVu Sans Mono"/>
          <w:sz w:val="24"/>
          <w:szCs w:val="24"/>
          <w:u w:val="single"/>
        </w:rPr>
      </w:pPr>
      <w:r>
        <w:rPr>
          <w:rFonts w:cs="DejaVu Sans Mono" w:ascii="DejaVu Sans Mono" w:hAnsi="DejaVu Sans Mono"/>
          <w:b/>
          <w:sz w:val="24"/>
          <w:szCs w:val="24"/>
          <w:u w:val="single"/>
        </w:rPr>
        <w:t>Relação de Documentos para Requerer a Anuência Ambiental</w:t>
      </w:r>
    </w:p>
    <w:p>
      <w:pPr>
        <w:pStyle w:val="ListParagraph"/>
        <w:jc w:val="both"/>
        <w:rPr>
          <w:rFonts w:ascii="DejaVu Sans Mono" w:hAnsi="DejaVu Sans Mono" w:cs="DejaVu Sans Mono"/>
          <w:b/>
          <w:b/>
          <w:sz w:val="24"/>
          <w:szCs w:val="24"/>
          <w:u w:val="single"/>
        </w:rPr>
      </w:pPr>
      <w:r>
        <w:rPr>
          <w:rFonts w:cs="DejaVu Sans Mono" w:ascii="DejaVu Sans Mono" w:hAnsi="DejaVu Sans Mono"/>
          <w:b/>
          <w:sz w:val="24"/>
          <w:szCs w:val="24"/>
          <w:u w:val="single"/>
        </w:rPr>
      </w:r>
    </w:p>
    <w:p>
      <w:pPr>
        <w:pStyle w:val="ListParagraph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As seguintes solicitações devem ser atendidas:</w:t>
      </w:r>
    </w:p>
    <w:p>
      <w:pPr>
        <w:pStyle w:val="ListParagraph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993" w:hanging="36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Requerimento padrão de Licenciamento Ambiental;</w:t>
      </w:r>
    </w:p>
    <w:p>
      <w:pPr>
        <w:pStyle w:val="ListParagraph"/>
        <w:numPr>
          <w:ilvl w:val="0"/>
          <w:numId w:val="2"/>
        </w:numPr>
        <w:ind w:left="993" w:hanging="36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Comprovante da Taxa Ambiental;</w:t>
      </w:r>
    </w:p>
    <w:p>
      <w:pPr>
        <w:pStyle w:val="ListParagraph"/>
        <w:numPr>
          <w:ilvl w:val="0"/>
          <w:numId w:val="2"/>
        </w:numPr>
        <w:ind w:left="993" w:hanging="36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Cópia do RG/CPF/Comprovante de residência do requerente.</w:t>
      </w:r>
    </w:p>
    <w:p>
      <w:pPr>
        <w:pStyle w:val="ListParagraph"/>
        <w:ind w:left="993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DejaVu Sans Mono" w:hAnsi="DejaVu Sans Mono" w:cs="DejaVu Sans Mono"/>
          <w:sz w:val="24"/>
          <w:szCs w:val="24"/>
          <w:u w:val="single"/>
        </w:rPr>
      </w:pPr>
      <w:r>
        <w:rPr>
          <w:rFonts w:cs="DejaVu Sans Mono" w:ascii="DejaVu Sans Mono" w:hAnsi="DejaVu Sans Mono"/>
          <w:b/>
          <w:sz w:val="24"/>
          <w:szCs w:val="24"/>
          <w:u w:val="single"/>
        </w:rPr>
        <w:t>Produtos Cartográficos</w:t>
      </w:r>
    </w:p>
    <w:p>
      <w:pPr>
        <w:pStyle w:val="Normal"/>
        <w:ind w:left="360" w:hanging="0"/>
        <w:jc w:val="both"/>
        <w:rPr>
          <w:rFonts w:ascii="DejaVu Sans Mono" w:hAnsi="DejaVu Sans Mono" w:cs="DejaVu Sans Mono"/>
          <w:sz w:val="24"/>
          <w:szCs w:val="24"/>
          <w:u w:val="single"/>
        </w:rPr>
      </w:pPr>
      <w:r>
        <w:rPr>
          <w:rFonts w:cs="DejaVu Sans Mono" w:ascii="DejaVu Sans Mono" w:hAnsi="DejaVu Sans Mono"/>
          <w:sz w:val="24"/>
          <w:szCs w:val="24"/>
          <w:u w:val="single"/>
        </w:rPr>
      </w:r>
    </w:p>
    <w:p>
      <w:pPr>
        <w:pStyle w:val="Normal"/>
        <w:ind w:left="36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Todos as produções cartográficas apresentadas nos trabalhos devem seguir aos seguintes itens:</w:t>
      </w:r>
    </w:p>
    <w:p>
      <w:pPr>
        <w:pStyle w:val="ListParagraph"/>
        <w:numPr>
          <w:ilvl w:val="0"/>
          <w:numId w:val="1"/>
        </w:numPr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Estar em escala compatível e a legenda deve estar legível;</w:t>
      </w:r>
    </w:p>
    <w:p>
      <w:pPr>
        <w:pStyle w:val="ListParagraph"/>
        <w:numPr>
          <w:ilvl w:val="0"/>
          <w:numId w:val="1"/>
        </w:numPr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As coordenadas devem estar em UTM e Datum SIRGAS 2000 (Conforme Resolução IBGE nº 1, de 25 de fevereiro de 2005);</w:t>
      </w:r>
    </w:p>
    <w:p>
      <w:pPr>
        <w:pStyle w:val="ListParagraph"/>
        <w:numPr>
          <w:ilvl w:val="0"/>
          <w:numId w:val="1"/>
        </w:numPr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Título – Revela o assunto do mapa;</w:t>
      </w:r>
    </w:p>
    <w:p>
      <w:pPr>
        <w:pStyle w:val="ListParagraph"/>
        <w:numPr>
          <w:ilvl w:val="0"/>
          <w:numId w:val="1"/>
        </w:numPr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Fonte – Indica a origem dos dados apresentados e a data a que se referem;</w:t>
      </w:r>
    </w:p>
    <w:p>
      <w:pPr>
        <w:pStyle w:val="ListParagraph"/>
        <w:numPr>
          <w:ilvl w:val="0"/>
          <w:numId w:val="1"/>
        </w:numPr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Orientação – Mostra a direção e a localização por meio da rosa dos ventos ou de ícone que indica o norte;</w:t>
      </w:r>
    </w:p>
    <w:p>
      <w:pPr>
        <w:pStyle w:val="ListParagraph"/>
        <w:numPr>
          <w:ilvl w:val="0"/>
          <w:numId w:val="1"/>
        </w:numPr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Escala Cartográfica – Informa a relação entre o tamanho do espaço real e a redução feita para representa-lo;</w:t>
      </w:r>
    </w:p>
    <w:p>
      <w:pPr>
        <w:pStyle w:val="ListParagraph"/>
        <w:numPr>
          <w:ilvl w:val="0"/>
          <w:numId w:val="1"/>
        </w:numPr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Legenda – Decodifica os símbolos usados (como as cores e formas, como linha de diferentes espessuras para diferenciar, por exemplo, ruas e rodovias);</w:t>
      </w:r>
    </w:p>
    <w:p>
      <w:pPr>
        <w:pStyle w:val="ListParagraph"/>
        <w:numPr>
          <w:ilvl w:val="0"/>
          <w:numId w:val="1"/>
        </w:numPr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Localizar o empreendimento em relação ao tema do mapa.</w:t>
      </w:r>
    </w:p>
    <w:p>
      <w:pPr>
        <w:pStyle w:val="Normal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ind w:left="993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b/>
          <w:sz w:val="24"/>
          <w:szCs w:val="24"/>
          <w:u w:val="single"/>
        </w:rPr>
        <w:t xml:space="preserve">Caracterização Geológica e </w:t>
      </w:r>
      <w:r>
        <w:rPr>
          <w:rFonts w:cs="DejaVu Sans Mono" w:ascii="DejaVu Sans Mono" w:hAnsi="DejaVu Sans Mono"/>
          <w:b/>
          <w:i/>
          <w:sz w:val="24"/>
          <w:szCs w:val="24"/>
          <w:u w:val="single"/>
        </w:rPr>
        <w:t>hidrogeologia</w:t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 xml:space="preserve">Caracterização Geológica </w:t>
      </w:r>
    </w:p>
    <w:p>
      <w:pPr>
        <w:pStyle w:val="ListParagrap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Fisiografia</w:t>
      </w:r>
      <w:r>
        <w:rPr>
          <w:rFonts w:cs="DejaVu Sans Mono" w:ascii="DejaVu Sans Mono" w:hAnsi="DejaVu Sans Mono"/>
          <w:i/>
          <w:sz w:val="24"/>
          <w:szCs w:val="24"/>
        </w:rPr>
        <w:t xml:space="preserve"> </w:t>
      </w:r>
      <w:r>
        <w:rPr>
          <w:rFonts w:cs="DejaVu Sans Mono" w:ascii="DejaVu Sans Mono" w:hAnsi="DejaVu Sans Mono"/>
          <w:sz w:val="24"/>
          <w:szCs w:val="24"/>
        </w:rPr>
        <w:t>(Vegetação Regional, geomorfológica da área de influência, levando em consideração a compartimentação da topografia geral, formas de relevo dominantes, declividade, características dinâmicas do relevo com mapeamento e indicação da presença ou propensão à erosão, assoreamento e inundações, instabilidade, etc., bem como sua localização na bacia hidrográfica);</w:t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ind w:left="1440" w:hanging="0"/>
        <w:jc w:val="both"/>
        <w:rPr/>
      </w:pPr>
      <w:r>
        <w:rPr>
          <w:rFonts w:cs="DejaVu Sans Mono" w:ascii="DejaVu Sans Mono" w:hAnsi="DejaVu Sans Mono"/>
          <w:sz w:val="24"/>
          <w:szCs w:val="24"/>
        </w:rPr>
        <w:t>Geologia (regional e local);</w:t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Teste de Absorção para determinação do coeficiente de infração (NBR 7.229/1993);</w:t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Analise de solo, contemplando potencial de corrosão (pH, Redox e condutividade;</w:t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Solos (regional e local);</w:t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Mapas localizado os locais de ensaios permeabilidade e coleta de amostras.</w:t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ind w:left="1418" w:hanging="36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Caracterização</w:t>
      </w:r>
      <w:r>
        <w:rPr>
          <w:rFonts w:cs="DejaVu Sans Mono" w:ascii="DejaVu Sans Mono" w:hAnsi="DejaVu Sans Mono"/>
          <w:i/>
          <w:sz w:val="24"/>
          <w:szCs w:val="24"/>
        </w:rPr>
        <w:t xml:space="preserve"> </w:t>
      </w:r>
      <w:bookmarkStart w:id="0" w:name="__DdeLink__103_614235813"/>
      <w:bookmarkEnd w:id="0"/>
      <w:r>
        <w:rPr>
          <w:rFonts w:cs="DejaVu Sans Mono" w:ascii="DejaVu Sans Mono" w:hAnsi="DejaVu Sans Mono"/>
          <w:i/>
          <w:sz w:val="24"/>
          <w:szCs w:val="24"/>
        </w:rPr>
        <w:t>hidrogeologia</w:t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Recurso hídricos superficiais e subterrâneos (regional e local);</w:t>
      </w:r>
    </w:p>
    <w:p>
      <w:pPr>
        <w:pStyle w:val="ListParagraph"/>
        <w:ind w:left="1440" w:hanging="0"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</w:r>
    </w:p>
    <w:p>
      <w:pPr>
        <w:pStyle w:val="ListParagraph"/>
        <w:spacing w:lineRule="auto" w:line="360" w:before="0" w:after="120"/>
        <w:ind w:left="1440" w:hanging="0"/>
        <w:contextualSpacing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 xml:space="preserve">Definição do sentido de fluxo das águas subterrâneas; </w:t>
      </w:r>
    </w:p>
    <w:p>
      <w:pPr>
        <w:pStyle w:val="ListParagraph"/>
        <w:spacing w:lineRule="auto" w:line="360" w:before="0" w:after="120"/>
        <w:ind w:left="1440" w:hanging="0"/>
        <w:contextualSpacing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>Identificação das áreas de recarga e descarga;</w:t>
      </w:r>
    </w:p>
    <w:p>
      <w:pPr>
        <w:pStyle w:val="ListParagraph"/>
        <w:spacing w:lineRule="auto" w:line="360" w:before="0" w:after="120"/>
        <w:ind w:left="1440" w:hanging="0"/>
        <w:contextualSpacing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 xml:space="preserve">Localização de poços de captação destinados ao abastecimento público ou privado; </w:t>
      </w:r>
    </w:p>
    <w:p>
      <w:pPr>
        <w:pStyle w:val="ListParagraph"/>
        <w:spacing w:lineRule="auto" w:line="360" w:before="0" w:after="120"/>
        <w:ind w:left="1440" w:hanging="0"/>
        <w:contextualSpacing/>
        <w:jc w:val="both"/>
        <w:rPr>
          <w:rFonts w:ascii="DejaVu Sans Mono" w:hAnsi="DejaVu Sans Mono" w:cs="DejaVu Sans Mono"/>
          <w:sz w:val="24"/>
          <w:szCs w:val="24"/>
        </w:rPr>
      </w:pPr>
      <w:r>
        <w:rPr>
          <w:rFonts w:cs="DejaVu Sans Mono" w:ascii="DejaVu Sans Mono" w:hAnsi="DejaVu Sans Mono"/>
          <w:sz w:val="24"/>
          <w:szCs w:val="24"/>
        </w:rPr>
        <w:t xml:space="preserve">Registrados nos órgãos competentes até a data da emissão do documento, no raio de 100m (quando houver); </w:t>
      </w:r>
    </w:p>
    <w:p>
      <w:pPr>
        <w:pStyle w:val="ListParagraph"/>
        <w:spacing w:lineRule="auto" w:line="360" w:before="0" w:after="120"/>
        <w:ind w:left="1440" w:hanging="0"/>
        <w:contextualSpacing/>
        <w:jc w:val="both"/>
        <w:rPr/>
      </w:pPr>
      <w:r>
        <w:rPr>
          <w:rFonts w:cs="DejaVu Sans Mono" w:ascii="DejaVu Sans Mono" w:hAnsi="DejaVu Sans Mono"/>
          <w:sz w:val="24"/>
          <w:szCs w:val="24"/>
        </w:rPr>
        <w:t>Considerar as possíveis interferências das atividades com corpos d’água superficiais e subterrâneos e Grau de vulnerabilidade da área.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DejaVu Sans Mon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>Documento sujeito a revisão periódicas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lineRule="auto" w:line="240" w:beforeAutospacing="0" w:before="0" w:after="0"/>
      <w:jc w:val="center"/>
      <w:rPr>
        <w:rFonts w:ascii="DejaVu Sans" w:hAnsi="DejaVu Sans" w:cs="DejaVu Sans"/>
        <w:b/>
        <w:b/>
        <w:bCs/>
        <w:color w:val="000000"/>
        <w:sz w:val="28"/>
        <w:szCs w:val="28"/>
      </w:rPr>
    </w:pPr>
    <w:r>
      <w:rPr/>
      <w:drawing>
        <wp:inline distT="0" distB="0" distL="0" distR="0">
          <wp:extent cx="1019175" cy="9334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lineRule="auto" w:line="240" w:beforeAutospacing="0" w:before="0" w:after="0"/>
      <w:jc w:val="center"/>
      <w:rPr/>
    </w:pPr>
    <w:r>
      <w:rPr>
        <w:rFonts w:cs="DejaVu Sans" w:ascii="DejaVu Sans" w:hAnsi="DejaVu Sans"/>
        <w:b/>
        <w:bCs/>
        <w:color w:val="000000"/>
        <w:sz w:val="28"/>
        <w:szCs w:val="28"/>
      </w:rPr>
      <w:t>ESTADO DE ALAGOAS</w:t>
    </w:r>
  </w:p>
  <w:p>
    <w:pPr>
      <w:pStyle w:val="NormalWeb"/>
      <w:spacing w:lineRule="auto" w:line="240" w:beforeAutospacing="0" w:before="0" w:after="0"/>
      <w:jc w:val="center"/>
      <w:rPr/>
    </w:pPr>
    <w:r>
      <w:rPr>
        <w:rFonts w:cs="DejaVu Sans" w:ascii="DejaVu Sans" w:hAnsi="DejaVu Sans"/>
        <w:b/>
        <w:bCs/>
        <w:color w:val="000000"/>
        <w:sz w:val="28"/>
        <w:szCs w:val="28"/>
      </w:rPr>
      <w:t>PREFEITURA DE ARAPIRACA</w:t>
    </w:r>
  </w:p>
  <w:p>
    <w:pPr>
      <w:pStyle w:val="NormalWeb"/>
      <w:spacing w:lineRule="auto" w:line="240" w:beforeAutospacing="0" w:before="0" w:after="0"/>
      <w:jc w:val="center"/>
      <w:rPr/>
    </w:pPr>
    <w:r>
      <w:rPr>
        <w:rFonts w:cs="DejaVu Sans" w:ascii="DejaVu Sans" w:hAnsi="DejaVu Sans"/>
        <w:color w:val="000000"/>
      </w:rPr>
      <w:t>Secretaria Municipal de Meio Ambiente e Agricultura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108e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108e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DejaVu Sans Mono" w:hAnsi="DejaVu Sans Mono" w:cs="Wingdings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DejaVu Sans Mono" w:hAnsi="DejaVu Sans Mono" w:cs="Wingdings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DejaVu Sans Mono" w:hAnsi="DejaVu Sans Mono" w:cs="Wingdings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DejaVu Sans Mono" w:hAnsi="DejaVu Sans Mono" w:cs="Wingdings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ucida Sans Unicode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a5ca8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a5ca8"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0108e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108e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B132F14A-718B-487B-AF7D-B79F65CD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LibreOffice/5.4.4.2$Windows_x86 LibreOffice_project/2524958677847fb3bb44820e40380acbe820f960</Application>
  <Pages>3</Pages>
  <Words>455</Words>
  <Characters>2648</Characters>
  <CharactersWithSpaces>3062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2018-02-09T00:30:00Z</dcterms:created>
  <dc:creator>amessonmarques.tec@gmail.com</dc:creator>
  <dc:description/>
  <dc:language>pt-BR</dc:language>
  <cp:lastModifiedBy/>
  <dcterms:modified xsi:type="dcterms:W3CDTF">2018-02-16T11:12:39Z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